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485-2610/2025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Меркушова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Александровича, родившегося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входящей почтовой корреспонденции по состоянию </w:t>
      </w:r>
      <w:r>
        <w:rPr>
          <w:rFonts w:ascii="Times New Roman" w:eastAsia="Times New Roman" w:hAnsi="Times New Roman" w:cs="Times New Roman"/>
          <w:sz w:val="27"/>
          <w:szCs w:val="27"/>
        </w:rPr>
        <w:t>на 26.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2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6 месяцев 2024 года не поступал. Установленный законодательством о налогах и сборах срок предоставления расчета по страховым взносам за 6 месяцев 2024 года – не позднее 25.07.2024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Меркушова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33685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сроку от </w:t>
      </w:r>
      <w:r>
        <w:rPr>
          <w:rFonts w:ascii="Times New Roman" w:eastAsia="Times New Roman" w:hAnsi="Times New Roman" w:cs="Times New Roman"/>
          <w:sz w:val="27"/>
          <w:szCs w:val="27"/>
        </w:rPr>
        <w:t>26.07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03.02.2025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Меркушова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полностью доказанной. Его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Меркушову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Меркушова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0412365400585008742415128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925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0B38-66AE-4984-AEAA-491B314636F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